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E7" w:rsidRPr="004C4064" w:rsidRDefault="005C7BE7" w:rsidP="00097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C83D6A" w:rsidRPr="004C4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ехническое задание</w:t>
      </w:r>
    </w:p>
    <w:p w:rsidR="00C83D6A" w:rsidRDefault="00C83D6A" w:rsidP="00097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заключение договора </w:t>
      </w:r>
      <w:r w:rsidR="004F5679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ремонт колесных пар электропоездов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2019 год</w:t>
      </w:r>
    </w:p>
    <w:p w:rsidR="004C4064" w:rsidRPr="00755857" w:rsidRDefault="004C4064" w:rsidP="004C4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58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Перечень работ: </w:t>
      </w:r>
    </w:p>
    <w:p w:rsidR="004C4064" w:rsidRPr="004C4064" w:rsidRDefault="004C4064" w:rsidP="004C4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представлении коммерческого предложения необходимо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предусмотреть возможность 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ремонта колесных пар и их элементов исходя из следующего перечня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8734"/>
      </w:tblGrid>
      <w:tr w:rsidR="004F5679" w:rsidRPr="004C4064" w:rsidTr="004F5679">
        <w:trPr>
          <w:trHeight w:val="872"/>
          <w:jc w:val="center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 w:rsidP="009F0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представлении коммерческого предложения необходимо представить стоимость ремонта колесных пар и их элементов </w:t>
            </w:r>
            <w:r w:rsidR="009F06E7"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исходя из следующего </w:t>
            </w:r>
            <w:r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перечня работ</w:t>
            </w:r>
            <w:r w:rsidR="009F06E7"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4F5679" w:rsidRPr="004C4064" w:rsidTr="004F5679">
        <w:trPr>
          <w:trHeight w:val="22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Моторный вагон (кол пара 302.30.10.000 (302.30.10.000-01))</w:t>
            </w:r>
          </w:p>
        </w:tc>
      </w:tr>
      <w:tr w:rsidR="004F5679" w:rsidRPr="004C4064" w:rsidTr="004F5679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 w:rsidP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Обыкновенное освидетельствование колесной пары моторного вагона</w:t>
            </w:r>
          </w:p>
        </w:tc>
      </w:tr>
      <w:tr w:rsidR="004F5679" w:rsidRPr="004C4064" w:rsidTr="004F5679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 w:rsidP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Полное освидетельствование колесной пары моторного вагона </w:t>
            </w:r>
          </w:p>
        </w:tc>
      </w:tr>
      <w:tr w:rsidR="004F5679" w:rsidRPr="004C4064" w:rsidTr="004F5679">
        <w:trPr>
          <w:trHeight w:val="65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Демонтаж, ремонт и монтаж буксовых узлов с роликовыми подшипниками </w:t>
            </w:r>
          </w:p>
        </w:tc>
      </w:tr>
      <w:tr w:rsidR="004F5679" w:rsidRPr="004C4064" w:rsidTr="004F5679">
        <w:trPr>
          <w:trHeight w:val="55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Демонтаж, ремонт и монтаж буксовых узлов с установкой новых корпусов букс с крышками </w:t>
            </w:r>
          </w:p>
        </w:tc>
      </w:tr>
      <w:tr w:rsidR="004F5679" w:rsidRPr="004C4064" w:rsidTr="004F5679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Демонтаж, ремонт и монтаж среднего подшипникового узла (опорного узла)   </w:t>
            </w:r>
          </w:p>
        </w:tc>
      </w:tr>
      <w:tr w:rsidR="004F5679" w:rsidRPr="004C4064" w:rsidTr="004F5679">
        <w:trPr>
          <w:trHeight w:val="67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Ремонт редуктора без смены основных элементов</w:t>
            </w:r>
          </w:p>
        </w:tc>
      </w:tr>
      <w:tr w:rsidR="004F5679" w:rsidRPr="004C4064" w:rsidTr="004F5679">
        <w:trPr>
          <w:trHeight w:val="71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оси </w:t>
            </w:r>
          </w:p>
        </w:tc>
      </w:tr>
      <w:tr w:rsidR="004F5679" w:rsidRPr="004C4064" w:rsidTr="004F5679">
        <w:trPr>
          <w:trHeight w:val="43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2-х бандажей </w:t>
            </w:r>
          </w:p>
        </w:tc>
      </w:tr>
      <w:tr w:rsidR="004F5679" w:rsidRPr="004C4064" w:rsidTr="004F5679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зубчатого венца </w:t>
            </w:r>
          </w:p>
        </w:tc>
      </w:tr>
      <w:tr w:rsidR="004F5679" w:rsidRPr="004C4064" w:rsidTr="004F5679">
        <w:trPr>
          <w:trHeight w:val="351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ступицы </w:t>
            </w:r>
          </w:p>
        </w:tc>
      </w:tr>
      <w:tr w:rsidR="004F5679" w:rsidRPr="004C4064" w:rsidTr="004F5679">
        <w:trPr>
          <w:trHeight w:val="57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 w:rsidP="009F06E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Смена колесного центра</w:t>
            </w:r>
          </w:p>
        </w:tc>
      </w:tr>
      <w:tr w:rsidR="004F5679" w:rsidRPr="004C4064" w:rsidTr="004F5679">
        <w:trPr>
          <w:trHeight w:val="57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обоймы </w:t>
            </w:r>
          </w:p>
        </w:tc>
      </w:tr>
      <w:tr w:rsidR="004F5679" w:rsidRPr="004C4064" w:rsidTr="004F5679">
        <w:trPr>
          <w:trHeight w:val="60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Ремонт редуктора моторной колесной пары со сменой  основных элементов</w:t>
            </w:r>
          </w:p>
        </w:tc>
      </w:tr>
      <w:tr w:rsidR="004F5679" w:rsidRPr="004C4064" w:rsidTr="004F5679">
        <w:trPr>
          <w:trHeight w:val="58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Замена корпуса редуктора моторной колесной пары</w:t>
            </w:r>
          </w:p>
        </w:tc>
      </w:tr>
      <w:tr w:rsidR="004F5679" w:rsidRPr="004C4064" w:rsidTr="004F5679">
        <w:trPr>
          <w:trHeight w:val="33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AA" w:rsidRPr="004C4064" w:rsidRDefault="004F5679" w:rsidP="00DD23A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9F06E7"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 малой</w:t>
            </w: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 шестерни в сборе с валом </w:t>
            </w:r>
          </w:p>
        </w:tc>
      </w:tr>
      <w:tr w:rsidR="00DD23AA" w:rsidRPr="004C4064" w:rsidTr="004F5679">
        <w:trPr>
          <w:trHeight w:val="33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3AA" w:rsidRPr="004C4064" w:rsidRDefault="00DD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3AA" w:rsidRPr="004C4064" w:rsidRDefault="00DD23AA" w:rsidP="00D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Обточка 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бандажей </w:t>
            </w:r>
          </w:p>
        </w:tc>
      </w:tr>
      <w:tr w:rsidR="004F5679" w:rsidRPr="004C4064" w:rsidTr="004F5679">
        <w:trPr>
          <w:trHeight w:val="28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C40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Прицепной вагон (колесная пара РУ1, РУ1Ш)</w:t>
            </w:r>
          </w:p>
        </w:tc>
      </w:tr>
      <w:tr w:rsidR="004F5679" w:rsidRPr="004C4064" w:rsidTr="004F5679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двух ЦКК </w:t>
            </w:r>
          </w:p>
        </w:tc>
      </w:tr>
      <w:tr w:rsidR="004F5679" w:rsidRPr="004C4064" w:rsidTr="004F5679">
        <w:trPr>
          <w:trHeight w:val="53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Обточка  двух ЦКК </w:t>
            </w:r>
          </w:p>
        </w:tc>
      </w:tr>
      <w:tr w:rsidR="004F5679" w:rsidRPr="004C4064" w:rsidTr="004F5679">
        <w:trPr>
          <w:trHeight w:val="51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Смена оси прицепной колесной пары </w:t>
            </w:r>
          </w:p>
        </w:tc>
      </w:tr>
      <w:tr w:rsidR="004F5679" w:rsidRPr="004C4064" w:rsidTr="004F5679">
        <w:trPr>
          <w:trHeight w:val="59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Демонтаж, ремонт и монтаж буксовых узлов с роликовыми подшипниками </w:t>
            </w:r>
          </w:p>
        </w:tc>
      </w:tr>
      <w:tr w:rsidR="004F5679" w:rsidRPr="004C4064" w:rsidTr="004F5679">
        <w:trPr>
          <w:trHeight w:val="639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Полное освидетельствование прицепной колесной пары без смены элементов.</w:t>
            </w:r>
          </w:p>
        </w:tc>
      </w:tr>
      <w:tr w:rsidR="004F5679" w:rsidRPr="004C4064" w:rsidTr="004F5679">
        <w:trPr>
          <w:trHeight w:val="84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79" w:rsidRPr="004C4064" w:rsidRDefault="004F5679" w:rsidP="004F56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06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корпусов букс с крышками, роликовыми подшипниками прицепных колесных пар электропоезда </w:t>
            </w:r>
          </w:p>
        </w:tc>
      </w:tr>
    </w:tbl>
    <w:p w:rsidR="00F809D1" w:rsidRPr="004C4064" w:rsidRDefault="009F06E7" w:rsidP="00097D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выполняет работы по освидетельствованию и ремонту колесных пар в соответствии с действующими нормативными документами.</w:t>
      </w:r>
    </w:p>
    <w:p w:rsidR="004F5679" w:rsidRPr="004C4064" w:rsidRDefault="00E943FE" w:rsidP="00097D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Предприятие </w:t>
      </w:r>
      <w:r w:rsidR="009F06E7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9F06E7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F06E7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клеймо на проведение работ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освидетел</w:t>
      </w:r>
      <w:r w:rsidR="00F809D1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ьствованию и ремонту колесных пар. </w:t>
      </w:r>
    </w:p>
    <w:p w:rsidR="004F5679" w:rsidRDefault="00F809D1" w:rsidP="00097D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работ по ремонту колесных пар моторных вагонов 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редуктором 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распаривание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зубчатых колес, кроме случаев выбраковки, а так</w:t>
      </w:r>
      <w:r w:rsidR="00BF2BAA"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недопустимой разницы толщины зубьев.</w:t>
      </w:r>
    </w:p>
    <w:p w:rsidR="00710E0B" w:rsidRDefault="00DD23AA" w:rsidP="00DD23A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E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Ориентировочный объем ремонтируемых в 2019 году колесных пар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D23AA" w:rsidRDefault="00710E0B" w:rsidP="00DD23A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колесных пар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редуктором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 штуки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23AA" w:rsidRDefault="00DD23AA" w:rsidP="00DD23A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Прицепных</w:t>
      </w:r>
      <w:r w:rsidR="0071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колесных пар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шт. </w:t>
      </w:r>
    </w:p>
    <w:p w:rsidR="00DD23AA" w:rsidRDefault="00DD23AA" w:rsidP="00710E0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объем работ может изменятся в результате выбраковки эксплуатируемых колесных пар.</w:t>
      </w:r>
    </w:p>
    <w:p w:rsidR="00755857" w:rsidRPr="004C4064" w:rsidRDefault="00755857" w:rsidP="00097D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8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Стоимость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ремонту каждой колесной пары должна определятся как сумма стоимостей всех проведенных работ. Перечень необходимых работ формируется исходя из фактического состояния каждой колесной пары. При нахождении предприятия Исполнителя на расстоянии </w:t>
      </w:r>
      <w:r w:rsidR="00002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100 км от г. Москва, предусмотреть расценку на доставку колесных пар от Заказчика к месту проведения ремонта и обратно Заказчику. Место доставки: г. Москва, улица Нижняя, дом 17.</w:t>
      </w:r>
    </w:p>
    <w:p w:rsidR="00BF2BAA" w:rsidRPr="004C4064" w:rsidRDefault="00BF2BAA" w:rsidP="00002B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B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нахождения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колесной пары в ремонте не должен превышать </w:t>
      </w:r>
      <w:r w:rsidR="00DD2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календарных</w:t>
      </w:r>
      <w:r w:rsidRPr="004C4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</w:t>
      </w:r>
    </w:p>
    <w:p w:rsidR="00224073" w:rsidRPr="00002BCB" w:rsidRDefault="00224073" w:rsidP="00002B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B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Гарантийные сроки и периоды</w:t>
      </w:r>
      <w:r w:rsidRPr="00002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элементы колесных пар</w:t>
      </w:r>
      <w:r w:rsidR="00002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указаны в таблице:</w:t>
      </w:r>
    </w:p>
    <w:tbl>
      <w:tblPr>
        <w:tblW w:w="897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1843"/>
        <w:gridCol w:w="3164"/>
      </w:tblGrid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узла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Гарантийный пробег, </w:t>
            </w:r>
            <w:proofErr w:type="spellStart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тыс.км</w:t>
            </w:r>
            <w:proofErr w:type="spellEnd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Гарантийный период</w:t>
            </w:r>
          </w:p>
        </w:tc>
      </w:tr>
      <w:tr w:rsidR="00224073" w:rsidRPr="003F0033" w:rsidTr="00DA74CB">
        <w:trPr>
          <w:trHeight w:val="1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Колесная пара: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1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ремонте со сменой или   </w:t>
            </w:r>
            <w:proofErr w:type="spellStart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перепрессовкой</w:t>
            </w:r>
            <w:proofErr w:type="spellEnd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элементов;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прочности сопряжений колесных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центров, зубчатых  колес и венцов зубчатой передачи до замены деталей колесной пары,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плановой  </w:t>
            </w:r>
            <w:proofErr w:type="spellStart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овки</w:t>
            </w:r>
            <w:proofErr w:type="spellEnd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опробования на сдвиг, но не более 10 лет    </w:t>
            </w:r>
          </w:p>
        </w:tc>
      </w:tr>
      <w:tr w:rsidR="00224073" w:rsidRPr="003F0033" w:rsidTr="00DA74CB">
        <w:trPr>
          <w:trHeight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Колесные центры старые в случае появления трещин по свар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шву или в местах наплавки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 не более 300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км            </w:t>
            </w: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посадке бандажей по   прочности сопряжения: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1.3.1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новые бандажи;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1.3.2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старые бандажи;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излома бандажа или появления трещин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Старых бандажей в случае излома или появления трещин;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состояние частей оси, которым в соответствии с Инструкциями производится </w:t>
            </w:r>
            <w:proofErr w:type="spellStart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дефектоскопирование</w:t>
            </w:r>
            <w:proofErr w:type="spellEnd"/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обыкновенном освидетельствовании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следующего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 освидетельствования</w:t>
            </w: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остальным частям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следующего   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полного освидетельствования</w:t>
            </w:r>
          </w:p>
        </w:tc>
      </w:tr>
      <w:tr w:rsidR="00224073" w:rsidRPr="003F0033" w:rsidTr="00DA74CB">
        <w:trPr>
          <w:trHeight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22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правильность сборки   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торцевого крепления и    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состояния смазки (кроме букс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приводом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ДПС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следующего полного освидетельствования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текущего ремонта ТР-2 или вскрытия крышек букс для обточки профиля 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катания бандажей без выкатки колесной пары</w:t>
            </w: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Зубчатые передачи колесных  пар: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Новые: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Ведомые зубчатые колеса - по излому, появлению трещин и износу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ведомые в случае использования со старой ведущей шестерней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2.1.3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Ведущие шестерни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2.1.4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прочности посадки: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4C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Ведущие шестерни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текущего ремонта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ТРЗ</w:t>
            </w:r>
            <w:r w:rsidR="0048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капитального ремонта КР1, КР2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24073" w:rsidRPr="003F0033" w:rsidTr="00DA74CB">
        <w:trPr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4C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Ведомые зубчатые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4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пункту 2.1.    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таблицы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7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Отремонтированные: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073" w:rsidRPr="003F0033" w:rsidTr="00DA74CB">
        <w:trPr>
          <w:trHeight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Ведомые редукторные моторвагонного подвижного состава по ослаблению посадки, излому, появлению трещин и по износу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свыше 2,5 лет   </w:t>
            </w:r>
          </w:p>
        </w:tc>
      </w:tr>
      <w:tr w:rsidR="00224073" w:rsidRPr="003F0033" w:rsidTr="00DA74CB">
        <w:trPr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  <w:r w:rsidR="0000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ведущие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73" w:rsidRPr="003F0033" w:rsidRDefault="00224073" w:rsidP="0019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             </w:t>
            </w:r>
          </w:p>
        </w:tc>
      </w:tr>
    </w:tbl>
    <w:p w:rsidR="007B3FF6" w:rsidRDefault="007B3FF6"/>
    <w:sectPr w:rsidR="007B3FF6" w:rsidSect="007D21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E0"/>
    <w:multiLevelType w:val="multilevel"/>
    <w:tmpl w:val="807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B3F"/>
    <w:multiLevelType w:val="multilevel"/>
    <w:tmpl w:val="D45A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F8"/>
    <w:rsid w:val="00002BCB"/>
    <w:rsid w:val="00097D53"/>
    <w:rsid w:val="00205FBA"/>
    <w:rsid w:val="00224073"/>
    <w:rsid w:val="002D154A"/>
    <w:rsid w:val="003E7BF8"/>
    <w:rsid w:val="00481E19"/>
    <w:rsid w:val="004C4064"/>
    <w:rsid w:val="004F5679"/>
    <w:rsid w:val="005B5398"/>
    <w:rsid w:val="005C7BE7"/>
    <w:rsid w:val="00710E0B"/>
    <w:rsid w:val="00755857"/>
    <w:rsid w:val="007B3FF6"/>
    <w:rsid w:val="007D214E"/>
    <w:rsid w:val="009F06E7"/>
    <w:rsid w:val="00BC0FFB"/>
    <w:rsid w:val="00BF2BAA"/>
    <w:rsid w:val="00C204D2"/>
    <w:rsid w:val="00C83D6A"/>
    <w:rsid w:val="00DA74CB"/>
    <w:rsid w:val="00DD23AA"/>
    <w:rsid w:val="00E26B6C"/>
    <w:rsid w:val="00E943FE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B0C-4238-4378-8B58-8094DDA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Александр Николаевич</dc:creator>
  <cp:keywords/>
  <dc:description/>
  <cp:lastModifiedBy>Астахов Александр Николаевич</cp:lastModifiedBy>
  <cp:revision>3</cp:revision>
  <dcterms:created xsi:type="dcterms:W3CDTF">2018-12-12T12:38:00Z</dcterms:created>
  <dcterms:modified xsi:type="dcterms:W3CDTF">2018-12-12T13:05:00Z</dcterms:modified>
</cp:coreProperties>
</file>